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CA5C" w14:textId="77777777" w:rsidR="005E456E" w:rsidRPr="00423889" w:rsidRDefault="003A648C" w:rsidP="005B3EA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ӘЛ - ФАРАБИ АТЫНДАҒЫ ҚАЗАҚ ҰЛТТЫҚ</w:t>
      </w:r>
      <w:r w:rsidRPr="00423889">
        <w:rPr>
          <w:rFonts w:ascii="Times New Roman" w:hAnsi="Times New Roman" w:cs="Times New Roman"/>
          <w:b/>
          <w:color w:val="000000"/>
          <w:spacing w:val="71"/>
          <w:sz w:val="28"/>
          <w:szCs w:val="28"/>
        </w:rPr>
        <w:t xml:space="preserve"> </w:t>
      </w:r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УНИВЕРСИТЕТІ</w:t>
      </w:r>
    </w:p>
    <w:p w14:paraId="7F4230F1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6D482D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Химия </w:t>
      </w:r>
      <w:proofErr w:type="spellStart"/>
      <w:r w:rsidRPr="006D482D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6D482D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482D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химиялық</w:t>
      </w:r>
      <w:proofErr w:type="spellEnd"/>
      <w:r w:rsidRPr="006D482D">
        <w:rPr>
          <w:rFonts w:ascii="Times New Roman" w:eastAsiaTheme="minorEastAsia" w:hAnsi="Times New Roman" w:cs="Times New Roman"/>
          <w:b/>
          <w:color w:val="000000"/>
          <w:spacing w:val="70"/>
          <w:sz w:val="28"/>
          <w:szCs w:val="28"/>
        </w:rPr>
        <w:t xml:space="preserve"> </w:t>
      </w:r>
      <w:r w:rsidRPr="006D482D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технология </w:t>
      </w:r>
      <w:proofErr w:type="spellStart"/>
      <w:r w:rsidRPr="006D482D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факультеті</w:t>
      </w:r>
      <w:proofErr w:type="spellEnd"/>
    </w:p>
    <w:p w14:paraId="295C81C4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5CEB0B8D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Физикалық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химия, катализ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мұнайхимия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7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кафедрасы</w:t>
      </w:r>
      <w:proofErr w:type="spellEnd"/>
    </w:p>
    <w:p w14:paraId="402707C6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346211D2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3152656E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109F305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35BCDA4A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290F09B3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0F3D013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4823DA5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7383CD7D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226F197E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1B31AB9A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5B90E898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137EB27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2EAF3197" w14:textId="202176FA" w:rsidR="003A648C" w:rsidRPr="00423889" w:rsidRDefault="00327C08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7C08">
        <w:rPr>
          <w:rFonts w:ascii="Times New Roman" w:hAnsi="Times New Roman" w:cs="Times New Roman"/>
          <w:b/>
          <w:color w:val="000000"/>
          <w:sz w:val="28"/>
          <w:szCs w:val="28"/>
        </w:rPr>
        <w:t>67562</w:t>
      </w:r>
      <w:r w:rsidRPr="00327C0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Мұнайөңдеудегі өндірістік катализі</w:t>
      </w:r>
    </w:p>
    <w:p w14:paraId="120E4693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пәні</w:t>
      </w:r>
      <w:proofErr w:type="spellEnd"/>
      <w:r w:rsidRPr="0042388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қорытынды</w:t>
      </w:r>
      <w:proofErr w:type="spellEnd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емтихан</w:t>
      </w:r>
      <w:proofErr w:type="spellEnd"/>
      <w:r w:rsidRPr="0042388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бағдарламасы</w:t>
      </w:r>
      <w:proofErr w:type="spellEnd"/>
    </w:p>
    <w:p w14:paraId="48B62B47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FA70D46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B4FF0A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3889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423889">
        <w:rPr>
          <w:rFonts w:ascii="Times New Roman" w:hAnsi="Times New Roman" w:cs="Times New Roman"/>
          <w:color w:val="000000"/>
          <w:sz w:val="28"/>
          <w:szCs w:val="28"/>
        </w:rPr>
        <w:t xml:space="preserve"> беру</w:t>
      </w:r>
      <w:r w:rsidRPr="004238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color w:val="000000"/>
          <w:sz w:val="28"/>
          <w:szCs w:val="28"/>
        </w:rPr>
        <w:t>бағдарламасы</w:t>
      </w:r>
      <w:proofErr w:type="spellEnd"/>
      <w:r w:rsidRPr="0042388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8A8D67C" w14:textId="13BB82C9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«</w:t>
      </w:r>
      <w:r w:rsidR="00327C0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8D07101</w:t>
      </w:r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-</w:t>
      </w:r>
      <w:r w:rsidR="00327C0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t>Мұнайх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имия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»</w:t>
      </w:r>
    </w:p>
    <w:p w14:paraId="40392133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ABB664F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3250DB29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2F49466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5BEE0B75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563A71C0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1B2AC252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526D8906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F2E7EB9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5C06D5A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022FEFFD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04166BAB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B2D3FC9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1F4E97D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BAE251E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12D2DF65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3ED0E3F5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EC605AB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3DD45EE4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17492EB7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D91ECCF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7C1C3EBE" w14:textId="77777777" w:rsidR="00294C48" w:rsidRDefault="00294C48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1236A23C" w14:textId="27D39C34" w:rsidR="003A648C" w:rsidRPr="003A648C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Алматы </w:t>
      </w:r>
      <w:r w:rsidRPr="003A648C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</w:rPr>
        <w:t>202</w:t>
      </w:r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3 ж.</w:t>
      </w:r>
    </w:p>
    <w:p w14:paraId="54FA93F7" w14:textId="1539D446" w:rsidR="003A648C" w:rsidRPr="003A648C" w:rsidRDefault="003A648C" w:rsidP="009D4644">
      <w:pPr>
        <w:widowControl w:val="0"/>
        <w:autoSpaceDE w:val="0"/>
        <w:autoSpaceDN w:val="0"/>
        <w:spacing w:after="0" w:line="310" w:lineRule="exact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>Қорытынды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pacing w:val="187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емтихан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бағдарламасы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физикалық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химия,</w:t>
      </w:r>
      <w:r w:rsidRPr="003A648C">
        <w:rPr>
          <w:rFonts w:ascii="Times New Roman" w:eastAsiaTheme="minorEastAsia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катализ</w:t>
      </w:r>
      <w:r w:rsidRPr="00423889">
        <w:rPr>
          <w:rFonts w:ascii="Times New Roman" w:eastAsiaTheme="minorEastAsia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және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мұнайхимия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pacing w:val="246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кафедрасының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профессоры х.ғ.д. Конысбаев С.</w:t>
      </w:r>
      <w:proofErr w:type="gramStart"/>
      <w:r w:rsid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Р.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құрастырған</w:t>
      </w:r>
      <w:proofErr w:type="spellEnd"/>
      <w:proofErr w:type="gramEnd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14:paraId="2C0B3F1A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6809027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D26FB7D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B8AC3A6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5809DF5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proofErr w:type="spellStart"/>
      <w:r w:rsidRPr="00423889">
        <w:rPr>
          <w:rFonts w:ascii="Times New Roman" w:hAnsi="Times New Roman" w:cs="Times New Roman"/>
          <w:color w:val="000000"/>
          <w:sz w:val="28"/>
          <w:szCs w:val="28"/>
        </w:rPr>
        <w:t>Физикалық</w:t>
      </w:r>
      <w:proofErr w:type="spellEnd"/>
      <w:r w:rsidRPr="00423889">
        <w:rPr>
          <w:rFonts w:ascii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423889">
        <w:rPr>
          <w:rFonts w:ascii="Times New Roman" w:hAnsi="Times New Roman" w:cs="Times New Roman"/>
          <w:color w:val="000000"/>
          <w:sz w:val="28"/>
          <w:szCs w:val="28"/>
        </w:rPr>
        <w:t>химия,</w:t>
      </w:r>
      <w:r w:rsidRPr="00423889">
        <w:rPr>
          <w:rFonts w:ascii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423889">
        <w:rPr>
          <w:rFonts w:ascii="Times New Roman" w:hAnsi="Times New Roman" w:cs="Times New Roman"/>
          <w:color w:val="000000"/>
          <w:sz w:val="28"/>
          <w:szCs w:val="28"/>
        </w:rPr>
        <w:t>катализ</w:t>
      </w:r>
      <w:r w:rsidRPr="00423889">
        <w:rPr>
          <w:rFonts w:ascii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423889">
        <w:rPr>
          <w:rFonts w:ascii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color w:val="000000"/>
          <w:sz w:val="28"/>
          <w:szCs w:val="28"/>
        </w:rPr>
        <w:t>мұнайхимия</w:t>
      </w:r>
      <w:proofErr w:type="spellEnd"/>
      <w:r w:rsidRPr="00423889">
        <w:rPr>
          <w:rFonts w:ascii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color w:val="000000"/>
          <w:sz w:val="28"/>
          <w:szCs w:val="28"/>
        </w:rPr>
        <w:t>кафедрасының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отырысында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қарастырылды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388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және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бекітуге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ұсынылды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14:paraId="72389425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7F984EF7" w14:textId="77777777" w:rsidR="003A648C" w:rsidRPr="003A648C" w:rsidRDefault="003A648C" w:rsidP="009D4644">
      <w:pPr>
        <w:framePr w:w="380" w:wrap="auto" w:hAnchor="text" w:x="1772" w:y="4596"/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highlight w:val="yellow"/>
        </w:rPr>
      </w:pPr>
    </w:p>
    <w:p w14:paraId="111A5FEE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«</w:t>
      </w:r>
      <w:r w:rsidR="002A7A69"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06</w:t>
      </w:r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»</w:t>
      </w:r>
      <w:r w:rsidRPr="002A7A69">
        <w:rPr>
          <w:rFonts w:ascii="Times New Roman" w:eastAsiaTheme="minorEastAsia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қ</w:t>
      </w:r>
      <w:r w:rsidR="002A7A69"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азан</w:t>
      </w:r>
      <w:proofErr w:type="spellEnd"/>
      <w:r w:rsidRPr="002A7A69">
        <w:rPr>
          <w:rFonts w:ascii="Times New Roman" w:eastAsiaTheme="minorEastAsia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A7A69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>202</w:t>
      </w:r>
      <w:r w:rsidR="002A7A69" w:rsidRPr="002A7A69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>3</w:t>
      </w:r>
      <w:r w:rsidRPr="002A7A6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ж</w:t>
      </w:r>
      <w:r w:rsidR="002A7A69"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,</w:t>
      </w:r>
      <w:r w:rsidRPr="002A7A6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хаттама</w:t>
      </w:r>
      <w:proofErr w:type="spellEnd"/>
      <w:r w:rsidRPr="002A7A69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№</w:t>
      </w:r>
      <w:r w:rsidRPr="002A7A6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r w:rsidR="002A7A69" w:rsidRPr="002A7A6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4</w:t>
      </w:r>
    </w:p>
    <w:p w14:paraId="3BDEED3A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14:paraId="723F93A6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Кафедра</w:t>
      </w:r>
      <w:r w:rsidRPr="003A648C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меңгерушісі</w:t>
      </w:r>
      <w:proofErr w:type="spellEnd"/>
      <w:r w:rsidR="003B4C7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________________ </w:t>
      </w:r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Е.А. Аубакиров</w:t>
      </w:r>
    </w:p>
    <w:p w14:paraId="0C102F62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14:paraId="63F6819D" w14:textId="77777777" w:rsidR="003A648C" w:rsidRPr="00423889" w:rsidRDefault="003A648C" w:rsidP="009D4644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br w:type="page"/>
      </w:r>
    </w:p>
    <w:p w14:paraId="02D75B06" w14:textId="77777777" w:rsidR="003A648C" w:rsidRPr="00423889" w:rsidRDefault="003A648C" w:rsidP="00727D3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Кіріспе</w:t>
      </w:r>
      <w:proofErr w:type="spellEnd"/>
    </w:p>
    <w:p w14:paraId="1ACBB9BE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4A16939" w14:textId="75F5BFBD" w:rsidR="003A648C" w:rsidRPr="00294C48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Емтихан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форматы:</w:t>
      </w:r>
      <w:r w:rsidRPr="003A648C">
        <w:rPr>
          <w:rFonts w:ascii="Times New Roman" w:eastAsiaTheme="minorEastAsia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стандартты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,</w:t>
      </w:r>
      <w:r w:rsidR="00294C48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 xml:space="preserve"> ауызша</w:t>
      </w:r>
    </w:p>
    <w:p w14:paraId="0F4E66DC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Емтихан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платформасы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- 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Univer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АЖ</w:t>
      </w:r>
      <w:r w:rsidRPr="0042388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</w:p>
    <w:p w14:paraId="4DCCAD69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Емтихан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түрі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— офлайн</w:t>
      </w:r>
      <w:r w:rsidRPr="0042388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</w:p>
    <w:p w14:paraId="4025646B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Емтихан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өтуді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бақылау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бейнекөріністің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болуы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немесе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оқытушы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14:paraId="758A3D73" w14:textId="77777777" w:rsidR="003A648C" w:rsidRPr="003A648C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2388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Емтихан</w:t>
      </w:r>
      <w:proofErr w:type="spellEnd"/>
      <w:r w:rsidRPr="00423889">
        <w:rPr>
          <w:rFonts w:ascii="Times New Roman" w:eastAsiaTheme="minorEastAsia" w:hAnsi="Times New Roman" w:cs="Times New Roman"/>
          <w:b/>
          <w:color w:val="000000"/>
          <w:spacing w:val="-1"/>
          <w:sz w:val="28"/>
          <w:szCs w:val="28"/>
        </w:rPr>
        <w:t xml:space="preserve">  </w:t>
      </w:r>
      <w:proofErr w:type="spellStart"/>
      <w:r w:rsidRPr="0042388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ұзақтылығы</w:t>
      </w:r>
      <w:proofErr w:type="spellEnd"/>
      <w:proofErr w:type="gramEnd"/>
      <w:r w:rsidRPr="0042388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:</w:t>
      </w:r>
      <w:r w:rsidRPr="00423889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3</w:t>
      </w:r>
      <w:r w:rsidRPr="00423889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сағат</w:t>
      </w:r>
      <w:proofErr w:type="spellEnd"/>
    </w:p>
    <w:p w14:paraId="53646A26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E4919EE" w14:textId="77777777" w:rsidR="003A648C" w:rsidRPr="003A648C" w:rsidRDefault="003A648C" w:rsidP="009D4644">
      <w:pPr>
        <w:widowControl w:val="0"/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Бұл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емтиханда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келесі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тақырыптар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қамтылады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:</w:t>
      </w:r>
    </w:p>
    <w:p w14:paraId="43F5F1AB" w14:textId="77777777" w:rsidR="003A3ADA" w:rsidRPr="003A3ADA" w:rsidRDefault="003A3ADA" w:rsidP="003A3ADA">
      <w:pPr>
        <w:widowControl w:val="0"/>
        <w:numPr>
          <w:ilvl w:val="0"/>
          <w:numId w:val="11"/>
        </w:numPr>
        <w:autoSpaceDE w:val="0"/>
        <w:autoSpaceDN w:val="0"/>
        <w:spacing w:after="0" w:line="266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ADA">
        <w:rPr>
          <w:rFonts w:ascii="Times New Roman" w:eastAsia="Calibri" w:hAnsi="Times New Roman" w:cs="Times New Roman"/>
          <w:sz w:val="28"/>
          <w:szCs w:val="28"/>
        </w:rPr>
        <w:t>Назовите принципы, применяемые при предварительной переработки на нефтепромыслах: отделение газа, солей и воды.</w:t>
      </w:r>
    </w:p>
    <w:p w14:paraId="4D4513EC" w14:textId="77777777" w:rsidR="003A3ADA" w:rsidRPr="003A3ADA" w:rsidRDefault="003A3ADA" w:rsidP="003A3ADA">
      <w:pPr>
        <w:widowControl w:val="0"/>
        <w:numPr>
          <w:ilvl w:val="0"/>
          <w:numId w:val="11"/>
        </w:numPr>
        <w:autoSpaceDE w:val="0"/>
        <w:autoSpaceDN w:val="0"/>
        <w:spacing w:after="0" w:line="266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ADA">
        <w:rPr>
          <w:rFonts w:ascii="Times New Roman" w:eastAsia="Calibri" w:hAnsi="Times New Roman" w:cs="Times New Roman"/>
          <w:sz w:val="28"/>
          <w:szCs w:val="28"/>
        </w:rPr>
        <w:t>Назовите требования, предъявляемые товарной нефти для закачки в магистральные нефтепроводы.</w:t>
      </w:r>
    </w:p>
    <w:p w14:paraId="6E1A26AA" w14:textId="77777777" w:rsidR="003A3ADA" w:rsidRPr="003A3ADA" w:rsidRDefault="003A3ADA" w:rsidP="003A3ADA">
      <w:pPr>
        <w:widowControl w:val="0"/>
        <w:numPr>
          <w:ilvl w:val="0"/>
          <w:numId w:val="11"/>
        </w:numPr>
        <w:autoSpaceDE w:val="0"/>
        <w:autoSpaceDN w:val="0"/>
        <w:spacing w:after="0" w:line="266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ADA">
        <w:rPr>
          <w:rFonts w:ascii="Times New Roman" w:eastAsia="Calibri" w:hAnsi="Times New Roman" w:cs="Times New Roman"/>
          <w:sz w:val="28"/>
          <w:szCs w:val="28"/>
        </w:rPr>
        <w:t>Дайте характеристику нефтяным эмульсиям, приведите примеры прямых и обратных эмульсий.</w:t>
      </w:r>
    </w:p>
    <w:p w14:paraId="7C4A311B" w14:textId="77777777" w:rsidR="003A3ADA" w:rsidRPr="003A3ADA" w:rsidRDefault="003A3ADA" w:rsidP="003A3ADA">
      <w:pPr>
        <w:widowControl w:val="0"/>
        <w:numPr>
          <w:ilvl w:val="0"/>
          <w:numId w:val="11"/>
        </w:numPr>
        <w:autoSpaceDE w:val="0"/>
        <w:autoSpaceDN w:val="0"/>
        <w:spacing w:after="0" w:line="266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ADA">
        <w:rPr>
          <w:rFonts w:ascii="Times New Roman" w:eastAsia="Calibri" w:hAnsi="Times New Roman" w:cs="Times New Roman"/>
          <w:sz w:val="28"/>
          <w:szCs w:val="28"/>
        </w:rPr>
        <w:t>Дайте характеристику фракциям, получаемым при атмосферной и вакуумной дистилляции нефти на НПЗ.</w:t>
      </w:r>
    </w:p>
    <w:p w14:paraId="454AC1A2" w14:textId="77777777" w:rsidR="003A3ADA" w:rsidRPr="003A3ADA" w:rsidRDefault="003A3ADA" w:rsidP="003A3ADA">
      <w:pPr>
        <w:widowControl w:val="0"/>
        <w:numPr>
          <w:ilvl w:val="0"/>
          <w:numId w:val="11"/>
        </w:numPr>
        <w:autoSpaceDE w:val="0"/>
        <w:autoSpaceDN w:val="0"/>
        <w:spacing w:after="0" w:line="266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ADA">
        <w:rPr>
          <w:rFonts w:ascii="Times New Roman" w:eastAsia="Calibri" w:hAnsi="Times New Roman" w:cs="Times New Roman"/>
          <w:sz w:val="28"/>
          <w:szCs w:val="28"/>
        </w:rPr>
        <w:t xml:space="preserve">Как отделяются кислые газы от природных газов на газопромыслах и как </w:t>
      </w:r>
      <w:proofErr w:type="spellStart"/>
      <w:r w:rsidRPr="003A3ADA">
        <w:rPr>
          <w:rFonts w:ascii="Times New Roman" w:eastAsia="Calibri" w:hAnsi="Times New Roman" w:cs="Times New Roman"/>
          <w:sz w:val="28"/>
          <w:szCs w:val="28"/>
        </w:rPr>
        <w:t>утилиризуются</w:t>
      </w:r>
      <w:proofErr w:type="spellEnd"/>
      <w:r w:rsidRPr="003A3AD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F3422F" w14:textId="77777777" w:rsidR="003A3ADA" w:rsidRPr="003A3ADA" w:rsidRDefault="003A3ADA" w:rsidP="003A3ADA">
      <w:pPr>
        <w:widowControl w:val="0"/>
        <w:numPr>
          <w:ilvl w:val="0"/>
          <w:numId w:val="11"/>
        </w:numPr>
        <w:autoSpaceDE w:val="0"/>
        <w:autoSpaceDN w:val="0"/>
        <w:spacing w:after="0" w:line="266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ADA">
        <w:rPr>
          <w:rFonts w:ascii="Times New Roman" w:eastAsia="Calibri" w:hAnsi="Times New Roman" w:cs="Times New Roman"/>
          <w:sz w:val="28"/>
          <w:szCs w:val="28"/>
        </w:rPr>
        <w:t>Как выделяются газовые конденсаты из природных газов и как они используются на практике покажите на примере фирмы «Конденсат» в Уральске.</w:t>
      </w:r>
    </w:p>
    <w:p w14:paraId="123EF937" w14:textId="77777777" w:rsidR="003A3ADA" w:rsidRPr="003A3ADA" w:rsidRDefault="003A3ADA" w:rsidP="003A3ADA">
      <w:pPr>
        <w:widowControl w:val="0"/>
        <w:numPr>
          <w:ilvl w:val="0"/>
          <w:numId w:val="11"/>
        </w:numPr>
        <w:autoSpaceDE w:val="0"/>
        <w:autoSpaceDN w:val="0"/>
        <w:spacing w:after="0" w:line="266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ADA">
        <w:rPr>
          <w:rFonts w:ascii="Times New Roman" w:eastAsia="Calibri" w:hAnsi="Times New Roman" w:cs="Times New Roman"/>
          <w:sz w:val="28"/>
          <w:szCs w:val="28"/>
        </w:rPr>
        <w:t>Какие каменные угли используются для получения кокса, приведите принцип работы Коксохимической батареи в Темиртау.</w:t>
      </w:r>
    </w:p>
    <w:p w14:paraId="14EB7B4A" w14:textId="77777777" w:rsidR="003A3ADA" w:rsidRPr="003A3ADA" w:rsidRDefault="003A3ADA" w:rsidP="003A3ADA">
      <w:pPr>
        <w:widowControl w:val="0"/>
        <w:numPr>
          <w:ilvl w:val="0"/>
          <w:numId w:val="11"/>
        </w:numPr>
        <w:autoSpaceDE w:val="0"/>
        <w:autoSpaceDN w:val="0"/>
        <w:spacing w:after="0" w:line="266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ADA">
        <w:rPr>
          <w:rFonts w:ascii="Times New Roman" w:eastAsia="Calibri" w:hAnsi="Times New Roman" w:cs="Times New Roman"/>
          <w:sz w:val="28"/>
          <w:szCs w:val="28"/>
        </w:rPr>
        <w:t>Приведите состав коксовых газов, в каких синтезах используется синтез-газ.</w:t>
      </w:r>
    </w:p>
    <w:p w14:paraId="28E5843A" w14:textId="77777777" w:rsidR="003A3ADA" w:rsidRPr="003A3ADA" w:rsidRDefault="003A3ADA" w:rsidP="003A3ADA">
      <w:pPr>
        <w:widowControl w:val="0"/>
        <w:numPr>
          <w:ilvl w:val="0"/>
          <w:numId w:val="11"/>
        </w:numPr>
        <w:autoSpaceDE w:val="0"/>
        <w:autoSpaceDN w:val="0"/>
        <w:spacing w:after="0" w:line="266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ADA">
        <w:rPr>
          <w:rFonts w:ascii="Times New Roman" w:eastAsia="Calibri" w:hAnsi="Times New Roman" w:cs="Times New Roman"/>
          <w:sz w:val="28"/>
          <w:szCs w:val="28"/>
        </w:rPr>
        <w:t>Какие жидкие продукты получаются при коксовании угля, дайте характеристику сырому бензолу и каменноугольной смоле.</w:t>
      </w:r>
    </w:p>
    <w:p w14:paraId="080E5D58" w14:textId="77777777" w:rsidR="003A3ADA" w:rsidRPr="003A3ADA" w:rsidRDefault="003A3ADA" w:rsidP="003A3ADA">
      <w:pPr>
        <w:widowControl w:val="0"/>
        <w:numPr>
          <w:ilvl w:val="0"/>
          <w:numId w:val="11"/>
        </w:numPr>
        <w:autoSpaceDE w:val="0"/>
        <w:autoSpaceDN w:val="0"/>
        <w:spacing w:after="0" w:line="266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ADA">
        <w:rPr>
          <w:rFonts w:ascii="Times New Roman" w:eastAsia="Calibri" w:hAnsi="Times New Roman" w:cs="Times New Roman"/>
          <w:sz w:val="28"/>
          <w:szCs w:val="28"/>
        </w:rPr>
        <w:t>Приведите методы утилизации сероводорода. Как используется элементарная сера на ТОО «Тенгизшевройл».</w:t>
      </w:r>
    </w:p>
    <w:p w14:paraId="5ED581ED" w14:textId="77777777" w:rsidR="00633A2E" w:rsidRPr="003A3ADA" w:rsidRDefault="00633A2E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01013741" w14:textId="5BFB9D7C" w:rsidR="002A7A69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t>Емтихан өткізу ережелері</w:t>
      </w:r>
    </w:p>
    <w:p w14:paraId="26B16173" w14:textId="77777777" w:rsid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</w:p>
    <w:p w14:paraId="1B7B6122" w14:textId="77777777" w:rsidR="00294C48" w:rsidRPr="00294C48" w:rsidRDefault="00294C48" w:rsidP="00294C48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 w:rsidRPr="00294C48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Дайындыққа 15-20 минут, билеттің барлық сұрақтарына жауап беруге 15-20 минуттан ұсынылады.</w:t>
      </w:r>
    </w:p>
    <w:p w14:paraId="4210261A" w14:textId="77777777" w:rsid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</w:p>
    <w:p w14:paraId="0092838C" w14:textId="77777777" w:rsid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val="kk-KZ"/>
        </w:rPr>
      </w:pPr>
      <w:r w:rsidRPr="00F527C3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val="kk-KZ"/>
        </w:rPr>
        <w:t>Тыйым салынады:</w:t>
      </w:r>
    </w:p>
    <w:p w14:paraId="0FCD4C02" w14:textId="77777777" w:rsid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1. Емтиханға білім алушыларға өзімен бірге қосалқы ақпараттар рұқсатсыз қол жеткізу үшін пайдаланылуы мүмкін шпаргалкаларды, ұялы телефондарды, смарт-сағаттарды және басқа да техникалық және өзге де құралдарды алып жүруге және/немесе пайдалануға.</w:t>
      </w:r>
    </w:p>
    <w:p w14:paraId="51E99A68" w14:textId="77777777" w:rsid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2. Басқа білім алушылармен және бөгде адамдармен сөйлесуге.</w:t>
      </w:r>
    </w:p>
    <w:p w14:paraId="09D5572C" w14:textId="77777777" w:rsidR="00F527C3" w:rsidRP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3. Жауаптарда аты-жөні, тегі және/немесе өзге де сәйкестендіру жазбаларын жазуға.</w:t>
      </w:r>
    </w:p>
    <w:p w14:paraId="587DE470" w14:textId="77777777" w:rsidR="00F527C3" w:rsidRP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</w:p>
    <w:p w14:paraId="70B17207" w14:textId="77777777" w:rsidR="003E03B4" w:rsidRPr="003E03B4" w:rsidRDefault="003E03B4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  <w:r w:rsidRPr="003E03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t>Студентке</w:t>
      </w:r>
      <w:r w:rsidRPr="003E03B4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  <w:lang w:val="kk-KZ"/>
        </w:rPr>
        <w:t xml:space="preserve"> </w:t>
      </w:r>
      <w:r w:rsidRPr="003E03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t xml:space="preserve">арналған нұсқаулық </w:t>
      </w:r>
    </w:p>
    <w:p w14:paraId="62707279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Pr="00423889">
        <w:rPr>
          <w:rFonts w:ascii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 алушы осы тармақтардың біреуін немесе бірнешеуін бұзған жағдайда емтихан жұмысының күшін жою туралы актісі толтырылады, пән үшін “F” (қанағаттанарлықсыз) бағасы қойылады.</w:t>
      </w:r>
    </w:p>
    <w:p w14:paraId="0EE47695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t>2. Егер білім алушы емтиханға келіп, билет бойынша жауап беруден бас тартса, емтихан тапсыру “F” бағасы ретінде бағаланады.</w:t>
      </w:r>
    </w:p>
    <w:p w14:paraId="6DA5F7CF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 Дәлелді себеп болмаған жағдайда емтиханға келмеу “F” бағасы ретінде </w:t>
      </w: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бағаланады.</w:t>
      </w:r>
    </w:p>
    <w:p w14:paraId="1320BD8F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t>4. Емтиханда осы Ережені қайталап бұзғаны үшін білім алушы факультеттің Әдеп жөніндегі кеңесінің қарауына ұсынылады.</w:t>
      </w:r>
    </w:p>
    <w:p w14:paraId="6A14C614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t>5. Пән бойынша қорытынды баға емтихан өткізілгеннен кейін 1 ай ішінде, егер білім алушы қашықтықтан білім беру технологияларын қолдана отырып қорытынды бақылау жүргізуге арналған нұсқаулықтар және/немесе емтихандағы тәртіп ережелерін бұзған жағдайда: шпаргалкаларды (көмекші құралдарды),  ұялы телефондарды пайдалану, өзара сөйлесу және т.б. онда акті толтырылып, бақылау бейнекамералырынан алынған жазбалар негізінде жойылуы мүмкін. Актінің күші жойылуға шағымдануға және аппеляцияға жатпайды.</w:t>
      </w:r>
    </w:p>
    <w:p w14:paraId="39FFD0C5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t>6. Емтихандардағы барлық тәртәп бұзушылықтар білім алушының транскриптіне еңгізіледі.</w:t>
      </w:r>
    </w:p>
    <w:p w14:paraId="25F8F7CD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5B472BF8" w14:textId="77777777" w:rsidR="003E03B4" w:rsidRPr="005B3EAE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B3E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Бағалау</w:t>
      </w:r>
      <w:r w:rsidRPr="005B3EAE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kk-KZ"/>
        </w:rPr>
        <w:t xml:space="preserve"> </w:t>
      </w:r>
      <w:r w:rsidRPr="005B3E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саясаты</w:t>
      </w:r>
    </w:p>
    <w:p w14:paraId="546EA149" w14:textId="77777777" w:rsidR="003E03B4" w:rsidRPr="005B3EAE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32E3F58" w14:textId="77777777" w:rsidR="003E03B4" w:rsidRPr="005B3EAE" w:rsidRDefault="00423889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Билетте 3 тапсырма (сұрақ) болады. </w:t>
      </w:r>
      <w:r w:rsidR="005B3EAE"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>Әр т</w:t>
      </w: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>апсырма</w:t>
      </w:r>
      <w:r w:rsidRPr="005B3EAE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>100 балмен</w:t>
      </w:r>
      <w:r w:rsidRPr="005B3EAE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бағаланады. </w:t>
      </w:r>
      <w:r w:rsidR="003E03B4" w:rsidRPr="005B3EA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Қорытынды нәтиже</w:t>
      </w:r>
      <w:r w:rsidR="005B3EA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сі</w:t>
      </w:r>
      <w:r w:rsidR="003E03B4" w:rsidRPr="005B3EA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 xml:space="preserve"> билеттің</w:t>
      </w:r>
      <w:r w:rsidRPr="005B3EA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барлық сұрақтарының</w:t>
      </w:r>
      <w:r w:rsidRPr="005B3EAE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сомасы </w:t>
      </w:r>
      <w:r w:rsid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>критерий санына бөлінгеніне тең</w:t>
      </w:r>
      <w:r w:rsidR="005B3EAE"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</w:t>
      </w: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>лады.</w:t>
      </w:r>
    </w:p>
    <w:p w14:paraId="1040D3EF" w14:textId="77777777" w:rsidR="00423889" w:rsidRPr="005B3EAE" w:rsidRDefault="00423889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20F3DCF" w14:textId="77777777" w:rsidR="00423889" w:rsidRPr="005B3EAE" w:rsidRDefault="00423889" w:rsidP="009D464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br w:type="page"/>
      </w:r>
    </w:p>
    <w:p w14:paraId="3DC2FAB4" w14:textId="77777777" w:rsidR="00423889" w:rsidRDefault="00423889" w:rsidP="009D4644">
      <w:pPr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sectPr w:rsidR="004238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189052" w14:textId="77777777" w:rsidR="002E4BF4" w:rsidRPr="002E4BF4" w:rsidRDefault="002E4BF4" w:rsidP="002E4B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2E4B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ҚОРЫТЫНДЫ БАҚЫЛАУДЫ КРИТЕРИАЛДЫ БАҒАЛАУ </w:t>
      </w:r>
      <w:r w:rsidRPr="002E4BF4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РУБРИКАТОРЫ</w:t>
      </w:r>
    </w:p>
    <w:p w14:paraId="55659E30" w14:textId="77777777" w:rsidR="00C04FFF" w:rsidRPr="00C04FFF" w:rsidRDefault="00C04FFF" w:rsidP="009D4644">
      <w:pPr>
        <w:spacing w:after="0" w:line="259" w:lineRule="auto"/>
        <w:jc w:val="both"/>
        <w:rPr>
          <w:rFonts w:ascii="Times New Roman" w:eastAsia="Calibri" w:hAnsi="Times New Roman" w:cs="Times New Roman"/>
          <w:sz w:val="18"/>
          <w:szCs w:val="18"/>
          <w:lang w:val="kk-KZ" w:eastAsia="zh-CN"/>
        </w:rPr>
      </w:pPr>
    </w:p>
    <w:tbl>
      <w:tblPr>
        <w:tblW w:w="158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4271"/>
        <w:gridCol w:w="2574"/>
        <w:gridCol w:w="2574"/>
        <w:gridCol w:w="2488"/>
        <w:gridCol w:w="1701"/>
        <w:gridCol w:w="1420"/>
        <w:gridCol w:w="10"/>
      </w:tblGrid>
      <w:tr w:rsidR="00C04FFF" w:rsidRPr="00C04FFF" w14:paraId="0F258749" w14:textId="77777777" w:rsidTr="004A0F57">
        <w:trPr>
          <w:cantSplit/>
          <w:trHeight w:hRule="exact" w:val="252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6726FC7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kk-KZ" w:eastAsia="zh-CN"/>
              </w:rPr>
            </w:pPr>
          </w:p>
        </w:tc>
        <w:tc>
          <w:tcPr>
            <w:tcW w:w="42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7050D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Критер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ий/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лл</w:t>
            </w:r>
          </w:p>
          <w:p w14:paraId="5CC9A2CE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767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7A5EF" w14:textId="77777777" w:rsidR="00C04FFF" w:rsidRPr="00C04FFF" w:rsidRDefault="00C04FFF" w:rsidP="009D4644">
            <w:pPr>
              <w:widowControl w:val="0"/>
              <w:tabs>
                <w:tab w:val="left" w:pos="5157"/>
                <w:tab w:val="left" w:pos="8063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ab/>
              <w:t xml:space="preserve">        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1"/>
                <w:sz w:val="18"/>
                <w:szCs w:val="18"/>
                <w:u w:val="single"/>
                <w:lang w:eastAsia="zh-CN"/>
              </w:rPr>
              <w:t xml:space="preserve"> 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2"/>
                <w:sz w:val="18"/>
                <w:szCs w:val="18"/>
                <w:u w:val="single"/>
                <w:lang w:eastAsia="zh-CN"/>
              </w:rPr>
              <w:t>Д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>е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1"/>
                <w:sz w:val="18"/>
                <w:szCs w:val="18"/>
                <w:u w:val="single"/>
                <w:lang w:eastAsia="zh-CN"/>
              </w:rPr>
              <w:t>ск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2"/>
                <w:sz w:val="18"/>
                <w:szCs w:val="18"/>
                <w:u w:val="single"/>
                <w:lang w:eastAsia="zh-CN"/>
              </w:rPr>
              <w:t>р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>и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2"/>
                <w:sz w:val="18"/>
                <w:szCs w:val="18"/>
                <w:u w:val="single"/>
                <w:lang w:eastAsia="zh-CN"/>
              </w:rPr>
              <w:t>пт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>ор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  <w:lang w:val="kk-KZ" w:eastAsia="zh-CN"/>
              </w:rPr>
              <w:t xml:space="preserve">лар 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ab/>
              <w:t xml:space="preserve">                                                                              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4"/>
                <w:sz w:val="18"/>
                <w:szCs w:val="18"/>
                <w:u w:val="single"/>
                <w:lang w:eastAsia="zh-CN"/>
              </w:rPr>
              <w:t xml:space="preserve"> </w:t>
            </w:r>
          </w:p>
        </w:tc>
      </w:tr>
      <w:tr w:rsidR="00C04FFF" w:rsidRPr="00C04FFF" w14:paraId="0167AD45" w14:textId="77777777" w:rsidTr="004A0F57">
        <w:trPr>
          <w:cantSplit/>
          <w:trHeight w:hRule="exact" w:val="254"/>
        </w:trPr>
        <w:tc>
          <w:tcPr>
            <w:tcW w:w="85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2DC3BD9C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427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DC517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EDEC5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z w:val="18"/>
                <w:szCs w:val="18"/>
                <w:lang w:val="kk-KZ" w:eastAsia="zh-CN"/>
              </w:rPr>
              <w:t>Өте жақсы</w:t>
            </w:r>
          </w:p>
        </w:tc>
        <w:tc>
          <w:tcPr>
            <w:tcW w:w="257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4F61F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3"/>
                <w:sz w:val="18"/>
                <w:szCs w:val="18"/>
                <w:lang w:val="kk-KZ" w:eastAsia="zh-CN"/>
              </w:rPr>
              <w:t>Жа</w:t>
            </w: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pacing w:val="-3"/>
                <w:sz w:val="18"/>
                <w:szCs w:val="18"/>
                <w:lang w:val="kk-KZ" w:eastAsia="zh-CN"/>
              </w:rPr>
              <w:t xml:space="preserve">қсы </w:t>
            </w:r>
          </w:p>
        </w:tc>
        <w:tc>
          <w:tcPr>
            <w:tcW w:w="2488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2D2D7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pacing w:val="-14"/>
                <w:sz w:val="18"/>
                <w:szCs w:val="18"/>
                <w:lang w:val="kk-KZ" w:eastAsia="zh-CN"/>
              </w:rPr>
              <w:t xml:space="preserve">Қанағаттанарлық 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F31D6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pacing w:val="-1"/>
                <w:sz w:val="18"/>
                <w:szCs w:val="18"/>
                <w:lang w:val="kk-KZ" w:eastAsia="zh-CN"/>
              </w:rPr>
              <w:t xml:space="preserve">Қанағаттанарлықсыз </w:t>
            </w:r>
          </w:p>
        </w:tc>
      </w:tr>
      <w:tr w:rsidR="00C04FFF" w:rsidRPr="00C04FFF" w14:paraId="59971376" w14:textId="77777777" w:rsidTr="004A0F57">
        <w:trPr>
          <w:gridAfter w:val="1"/>
          <w:wAfter w:w="10" w:type="dxa"/>
          <w:cantSplit/>
          <w:trHeight w:hRule="exact" w:val="315"/>
        </w:trPr>
        <w:tc>
          <w:tcPr>
            <w:tcW w:w="85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016EF155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427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D0560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3FB65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90–100% (</w:t>
            </w:r>
            <w:proofErr w:type="gramStart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27-30</w:t>
            </w:r>
            <w:proofErr w:type="gramEnd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257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00FC4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QOVFH+ArialMT" w:eastAsia="QOVFH+ArialMT" w:hAnsi="QOVFH+ArialMT" w:cs="QOVFH+ArialMT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</w:pPr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70–89% (</w:t>
            </w:r>
            <w:proofErr w:type="gramStart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21-26</w:t>
            </w:r>
            <w:proofErr w:type="gramEnd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2488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9D1FF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QOVFH+ArialMT" w:eastAsia="QOVFH+ArialMT" w:hAnsi="QOVFH+ArialMT" w:cs="QOVFH+ArialMT"/>
                <w:b/>
                <w:bCs/>
                <w:color w:val="000000"/>
                <w:spacing w:val="-14"/>
                <w:sz w:val="18"/>
                <w:szCs w:val="18"/>
                <w:lang w:eastAsia="zh-CN"/>
              </w:rPr>
            </w:pPr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50–69% (</w:t>
            </w:r>
            <w:proofErr w:type="gramStart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15-20</w:t>
            </w:r>
            <w:proofErr w:type="gramEnd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9E234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QOVFH+ArialMT" w:eastAsia="QOVFH+ArialMT" w:hAnsi="QOVFH+ArialMT" w:cs="QOVFH+ArialMT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</w:pPr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25–49% (</w:t>
            </w:r>
            <w:proofErr w:type="gramStart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8-14</w:t>
            </w:r>
            <w:proofErr w:type="gramEnd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F97B211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QOVFH+ArialMT" w:eastAsia="QOVFH+ArialMT" w:hAnsi="QOVFH+ArialMT" w:cs="QOVFH+ArialMT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</w:pPr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0–24% (</w:t>
            </w:r>
            <w:proofErr w:type="gramStart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0-7</w:t>
            </w:r>
            <w:proofErr w:type="gramEnd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</w:tr>
      <w:tr w:rsidR="00C04FFF" w:rsidRPr="00C04FFF" w14:paraId="1C88D7E0" w14:textId="77777777" w:rsidTr="004A0F57">
        <w:trPr>
          <w:gridAfter w:val="1"/>
          <w:wAfter w:w="10" w:type="dxa"/>
          <w:cantSplit/>
          <w:trHeight w:hRule="exact" w:val="4391"/>
        </w:trPr>
        <w:tc>
          <w:tcPr>
            <w:tcW w:w="8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13D2752E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1 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сұрақ</w:t>
            </w:r>
          </w:p>
          <w:p w14:paraId="0BE61AFD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</w:p>
          <w:p w14:paraId="15A61502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35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 xml:space="preserve"> балл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0B0F1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</w:p>
          <w:p w14:paraId="2710BE68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 xml:space="preserve">Курс теориясы мен </w:t>
            </w:r>
          </w:p>
          <w:p w14:paraId="48655FBE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тұжырымдамаларын білу және түсіну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6CC32" w14:textId="77777777" w:rsidR="00C04FFF" w:rsidRPr="00C04FFF" w:rsidRDefault="00C04FFF" w:rsidP="009D4644">
            <w:pPr>
              <w:widowControl w:val="0"/>
              <w:tabs>
                <w:tab w:val="left" w:pos="1499"/>
                <w:tab w:val="left" w:pos="21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>«Өте жақсы» деген баға сұрақтың жан-жақты түсіндірмесі, әрбір қорытынды мен мәлімдеме үшін егжей-тегжейлі дәлелі бар, логикалық түрде құрастырылған және әзірленген тақырыптардан мысалдармен расталған жауап үшін қойылады.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481A4" w14:textId="77777777" w:rsidR="00C04FFF" w:rsidRPr="00C04FFF" w:rsidRDefault="00C04FFF" w:rsidP="009D4644">
            <w:pPr>
              <w:widowControl w:val="0"/>
              <w:tabs>
                <w:tab w:val="left" w:pos="1392"/>
                <w:tab w:val="left" w:pos="222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 xml:space="preserve">«Жақсы» деген баға сұрақтың толық, бірақ толық емес қамтылуын, негізгі ережелердің қысқартылған аргументтерін қамтитын және материалды беру логикасы мен реттілігін бұзуға мүмкіндік беретін жауапқа қойылады.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Жауапта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стильдік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қателер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терминдерді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дұрыс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қолданбау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 xml:space="preserve">ы кедергі келтірмейді.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E4493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«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Қанағаттанарлық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»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баға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>сы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билетте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ұсынылған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сұрақтарды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толық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қамтымаған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негізгі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ойларды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үстірт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дәлелдейтін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, б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>аян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даудағы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композициялық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теңгерімсіздіктерге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материалды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баяндау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логикасы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реттілігін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бұзуға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жол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берген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жауапқа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қойылады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. 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>Ә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зірленген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жазбаларынан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мысалдармен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теориялық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ойлары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көрсет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>ілмейді.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86A1" w14:textId="77777777" w:rsidR="00C04FFF" w:rsidRPr="00C04FFF" w:rsidRDefault="00C04FFF" w:rsidP="009D4644">
            <w:pPr>
              <w:widowControl w:val="0"/>
              <w:tabs>
                <w:tab w:val="left" w:pos="23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Қойылған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сұрақтарды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дұрыс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қамтымау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қате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дәлелдеу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фактілік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сөздік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қателер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дұрыс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емес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қорытындыны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болжау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EB66B" w14:textId="77777777" w:rsidR="00C04FFF" w:rsidRPr="00C04FFF" w:rsidRDefault="00C04FFF" w:rsidP="009D4644">
            <w:pPr>
              <w:widowControl w:val="0"/>
              <w:tabs>
                <w:tab w:val="left" w:pos="892"/>
                <w:tab w:val="left" w:pos="22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Негізгі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ұғымдарды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теорияларды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білмеу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...;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Қорытынды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бақылауды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өткізу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ережесін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бұзу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.</w:t>
            </w:r>
          </w:p>
        </w:tc>
      </w:tr>
      <w:tr w:rsidR="00C04FFF" w:rsidRPr="00C04FFF" w14:paraId="382E02B6" w14:textId="77777777" w:rsidTr="004A0F57">
        <w:trPr>
          <w:gridAfter w:val="1"/>
          <w:wAfter w:w="10" w:type="dxa"/>
          <w:cantSplit/>
          <w:trHeight w:hRule="exact" w:val="2710"/>
        </w:trPr>
        <w:tc>
          <w:tcPr>
            <w:tcW w:w="8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48CE7E45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2 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сұрақ</w:t>
            </w:r>
          </w:p>
          <w:p w14:paraId="34CF0B5D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</w:p>
          <w:p w14:paraId="05F3B0A7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3</w:t>
            </w: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5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 xml:space="preserve"> балл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C9D2E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Таңдалған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әдістеме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технологияны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нақты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практикалық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тапсырмаларға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қолдану</w:t>
            </w:r>
            <w:proofErr w:type="spellEnd"/>
          </w:p>
        </w:tc>
        <w:tc>
          <w:tcPr>
            <w:tcW w:w="25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6D57C" w14:textId="77777777" w:rsidR="00C04FFF" w:rsidRPr="00C04FFF" w:rsidRDefault="00C04FFF" w:rsidP="009D4644">
            <w:pPr>
              <w:widowControl w:val="0"/>
              <w:tabs>
                <w:tab w:val="left" w:pos="1499"/>
                <w:tab w:val="left" w:pos="2102"/>
              </w:tabs>
              <w:spacing w:after="0" w:line="240" w:lineRule="auto"/>
              <w:jc w:val="both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Оқу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тапсырмасын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толық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орындау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қойылған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сұраққа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егжей-тегжейлі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дәлелді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жауап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беру,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содан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кейін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курстың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практикалық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мәселелерін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шешу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;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E5EB" w14:textId="77777777" w:rsidR="00C04FFF" w:rsidRPr="00C04FFF" w:rsidRDefault="00C04FFF" w:rsidP="009D4644">
            <w:pPr>
              <w:widowControl w:val="0"/>
              <w:tabs>
                <w:tab w:val="left" w:pos="1392"/>
                <w:tab w:val="left" w:pos="2229"/>
              </w:tabs>
              <w:spacing w:after="0" w:line="240" w:lineRule="auto"/>
              <w:jc w:val="both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Оқу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тапсырмасын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ішінара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орындау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толық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емес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курстың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практикалық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мәселелерін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толық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шешпей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қойылған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сұраққа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дәлелді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жауап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беру; курс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бойынша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ғылыми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тіл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нормаларын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сауатсыз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пайдалану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;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92331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Материал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фрагменттелген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логикалық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дәйектілікті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бұза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отырып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нақты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семантикалық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дәлсіздіктерге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жол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беріледі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курстың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теориялық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білімі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val="kk-KZ" w:eastAsia="zh-CN"/>
              </w:rPr>
              <w:t>ү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стірт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қолданылады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7D8D4" w14:textId="77777777" w:rsidR="00C04FFF" w:rsidRPr="00C04FFF" w:rsidRDefault="00C04FFF" w:rsidP="009D4644">
            <w:pPr>
              <w:widowControl w:val="0"/>
              <w:tabs>
                <w:tab w:val="left" w:pos="2327"/>
              </w:tabs>
              <w:spacing w:after="0" w:line="240" w:lineRule="auto"/>
              <w:jc w:val="both"/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Тапсырманы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шешудің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ұтымсыз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әдісі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немесе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жеткілікті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ойластырылмаған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жауап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жоспары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;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тапсырмаларды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шеше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алмау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тапсырмаларды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жалпы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түрде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орындау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;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нормадан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асатын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қателіктер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кемшіліктер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val="kk-KZ" w:eastAsia="zh-CN"/>
              </w:rPr>
              <w:t>дің болуы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.</w:t>
            </w:r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ab/>
            </w:r>
          </w:p>
        </w:tc>
        <w:tc>
          <w:tcPr>
            <w:tcW w:w="1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6288A" w14:textId="77777777" w:rsidR="00C04FFF" w:rsidRPr="00C04FFF" w:rsidRDefault="00C04FFF" w:rsidP="009D4644">
            <w:pPr>
              <w:widowControl w:val="0"/>
              <w:tabs>
                <w:tab w:val="left" w:pos="892"/>
                <w:tab w:val="left" w:pos="2265"/>
              </w:tabs>
              <w:spacing w:after="0" w:line="240" w:lineRule="auto"/>
              <w:jc w:val="both"/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Тапсырмаларды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шешу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үшін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білімді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алгоритмдерді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қолдана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алмау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;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қорытынды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val="kk-KZ" w:eastAsia="zh-CN"/>
              </w:rPr>
              <w:t>нәтиже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жасай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алмау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.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Қорытынды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бақылау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жүргізу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қағидаларын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бұзу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.</w:t>
            </w:r>
          </w:p>
        </w:tc>
      </w:tr>
    </w:tbl>
    <w:p w14:paraId="582ACC05" w14:textId="77777777" w:rsidR="00C04FFF" w:rsidRPr="00C04FFF" w:rsidRDefault="00C04FFF" w:rsidP="009D4644">
      <w:pPr>
        <w:spacing w:after="0"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  <w:sectPr w:rsidR="00C04FFF" w:rsidRPr="00C04FFF">
          <w:pgSz w:w="16838" w:h="11906" w:orient="landscape"/>
          <w:pgMar w:top="1291" w:right="825" w:bottom="850" w:left="571" w:header="0" w:footer="0" w:gutter="0"/>
          <w:cols w:space="708"/>
        </w:sectPr>
      </w:pPr>
    </w:p>
    <w:p w14:paraId="7CE1B5BA" w14:textId="77777777" w:rsidR="00C04FFF" w:rsidRPr="00C04FFF" w:rsidRDefault="00C04FFF" w:rsidP="009D4644">
      <w:pPr>
        <w:spacing w:after="0"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bookmarkStart w:id="0" w:name="_page_59_0"/>
    </w:p>
    <w:tbl>
      <w:tblPr>
        <w:tblW w:w="153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521"/>
        <w:gridCol w:w="2190"/>
        <w:gridCol w:w="2190"/>
        <w:gridCol w:w="2472"/>
        <w:gridCol w:w="2170"/>
        <w:gridCol w:w="1931"/>
      </w:tblGrid>
      <w:tr w:rsidR="00C04FFF" w:rsidRPr="00C04FFF" w14:paraId="06C02D62" w14:textId="77777777" w:rsidTr="004A0F57">
        <w:trPr>
          <w:cantSplit/>
          <w:trHeight w:hRule="exact" w:val="258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A059F92" w14:textId="77777777" w:rsidR="00C04FFF" w:rsidRPr="00C04FFF" w:rsidRDefault="00C04FFF" w:rsidP="009D4644">
            <w:pPr>
              <w:widowControl w:val="0"/>
              <w:spacing w:before="10" w:after="0" w:line="240" w:lineRule="auto"/>
              <w:ind w:left="103" w:right="-2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5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79FBF" w14:textId="77777777" w:rsidR="00C04FFF" w:rsidRPr="00C04FFF" w:rsidRDefault="00C04FFF" w:rsidP="009D4644">
            <w:pPr>
              <w:widowControl w:val="0"/>
              <w:spacing w:before="10" w:after="0" w:line="240" w:lineRule="auto"/>
              <w:ind w:left="103" w:right="-2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  <w:p w14:paraId="39483808" w14:textId="77777777" w:rsidR="00C04FFF" w:rsidRPr="00C04FFF" w:rsidRDefault="00C04FFF" w:rsidP="009D4644">
            <w:pPr>
              <w:widowControl w:val="0"/>
              <w:spacing w:before="10" w:after="0" w:line="240" w:lineRule="auto"/>
              <w:ind w:left="103" w:right="-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Критер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ий/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лл</w:t>
            </w:r>
          </w:p>
          <w:p w14:paraId="229A55FD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109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17E8A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67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eastAsia="zh-CN"/>
              </w:rPr>
              <w:t>Д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е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ск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р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и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пт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ор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лар</w:t>
            </w:r>
          </w:p>
        </w:tc>
      </w:tr>
      <w:tr w:rsidR="00C04FFF" w:rsidRPr="00C04FFF" w14:paraId="11A39449" w14:textId="77777777" w:rsidTr="004A0F57">
        <w:trPr>
          <w:cantSplit/>
          <w:trHeight w:hRule="exact" w:val="264"/>
        </w:trPr>
        <w:tc>
          <w:tcPr>
            <w:tcW w:w="85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1599B363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352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3ABF0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80143" w14:textId="77777777" w:rsidR="00C04FFF" w:rsidRPr="00C04FFF" w:rsidRDefault="00C04FFF" w:rsidP="009D4644">
            <w:pPr>
              <w:widowControl w:val="0"/>
              <w:tabs>
                <w:tab w:val="left" w:pos="2349"/>
              </w:tabs>
              <w:spacing w:before="9" w:after="0" w:line="239" w:lineRule="auto"/>
              <w:ind w:left="110" w:right="41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z w:val="18"/>
                <w:szCs w:val="18"/>
                <w:lang w:val="kk-KZ" w:eastAsia="zh-CN"/>
              </w:rPr>
              <w:t>Өте жақсы</w:t>
            </w:r>
          </w:p>
        </w:tc>
        <w:tc>
          <w:tcPr>
            <w:tcW w:w="219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53078" w14:textId="77777777" w:rsidR="00C04FFF" w:rsidRPr="00C04FFF" w:rsidRDefault="00C04FFF" w:rsidP="009D4644">
            <w:pPr>
              <w:widowControl w:val="0"/>
              <w:tabs>
                <w:tab w:val="left" w:pos="2152"/>
              </w:tabs>
              <w:spacing w:before="9" w:after="0" w:line="239" w:lineRule="auto"/>
              <w:ind w:left="110" w:right="41"/>
              <w:jc w:val="both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</w:pP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3"/>
                <w:sz w:val="18"/>
                <w:szCs w:val="18"/>
                <w:lang w:val="kk-KZ" w:eastAsia="zh-CN"/>
              </w:rPr>
              <w:t>Жа</w:t>
            </w: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pacing w:val="-3"/>
                <w:sz w:val="18"/>
                <w:szCs w:val="18"/>
                <w:lang w:val="kk-KZ" w:eastAsia="zh-CN"/>
              </w:rPr>
              <w:t xml:space="preserve">қсы </w:t>
            </w:r>
          </w:p>
        </w:tc>
        <w:tc>
          <w:tcPr>
            <w:tcW w:w="2472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1503A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58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pacing w:val="-14"/>
                <w:sz w:val="18"/>
                <w:szCs w:val="18"/>
                <w:lang w:val="kk-KZ" w:eastAsia="zh-CN"/>
              </w:rPr>
              <w:t xml:space="preserve">Қанағаттанарлық 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F725F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67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pacing w:val="-1"/>
                <w:sz w:val="18"/>
                <w:szCs w:val="18"/>
                <w:lang w:val="kk-KZ" w:eastAsia="zh-CN"/>
              </w:rPr>
              <w:t xml:space="preserve">Қанағаттанарлықсыз </w:t>
            </w:r>
          </w:p>
        </w:tc>
      </w:tr>
      <w:tr w:rsidR="00C04FFF" w:rsidRPr="00C04FFF" w14:paraId="5D3CE1FC" w14:textId="77777777" w:rsidTr="004A0F57">
        <w:trPr>
          <w:cantSplit/>
          <w:trHeight w:hRule="exact" w:val="241"/>
        </w:trPr>
        <w:tc>
          <w:tcPr>
            <w:tcW w:w="85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4B7C6BF7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35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6CC73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E634B" w14:textId="77777777" w:rsidR="00C04FFF" w:rsidRPr="00C04FFF" w:rsidRDefault="00C04FFF" w:rsidP="009D4644">
            <w:pPr>
              <w:widowControl w:val="0"/>
              <w:tabs>
                <w:tab w:val="left" w:pos="2349"/>
              </w:tabs>
              <w:spacing w:before="9" w:after="0" w:line="239" w:lineRule="auto"/>
              <w:ind w:left="110" w:right="41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90–100% (</w:t>
            </w:r>
            <w:proofErr w:type="gramStart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36-40</w:t>
            </w:r>
            <w:proofErr w:type="gramEnd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4167A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41"/>
              <w:jc w:val="both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70–89% (</w:t>
            </w:r>
            <w:proofErr w:type="gramStart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35-28</w:t>
            </w:r>
            <w:proofErr w:type="gramEnd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F252F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58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50–69% (</w:t>
            </w:r>
            <w:proofErr w:type="gramStart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27-20</w:t>
            </w:r>
            <w:proofErr w:type="gramEnd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22DE6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101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25–49% (</w:t>
            </w:r>
            <w:proofErr w:type="gramStart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19-10</w:t>
            </w:r>
            <w:proofErr w:type="gramEnd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7C8BD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67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0–24% (</w:t>
            </w:r>
            <w:proofErr w:type="gramStart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0-9</w:t>
            </w:r>
            <w:proofErr w:type="gramEnd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</w:tr>
      <w:tr w:rsidR="00C04FFF" w:rsidRPr="00C04FFF" w14:paraId="14668872" w14:textId="77777777" w:rsidTr="004A0F57">
        <w:trPr>
          <w:cantSplit/>
          <w:trHeight w:hRule="exact" w:val="4003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03B66CE6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3 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сұрақ</w:t>
            </w:r>
          </w:p>
          <w:p w14:paraId="087C59B2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</w:p>
          <w:p w14:paraId="2589C69A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3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0 балл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4B99E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Таңдалған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kk-KZ" w:eastAsia="zh-CN"/>
              </w:rPr>
              <w:t>ә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дістеменің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ұсынылған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практикалық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тапсырмаға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қолданылуын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бағалау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талдау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алынған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нәтиженің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негіздемесі</w:t>
            </w:r>
            <w:proofErr w:type="spellEnd"/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1BAAA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4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Ғылыми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ұстанымды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қолданылған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әдістеме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технологияны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дәйекті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қисынды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дұрыс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негіздеу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сауаттылық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ғылыми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тіл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нормаларын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сақтау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жалпы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дұрыс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тұжырымдарға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әсер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етпейтін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материалды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ұсынуда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1-2</w:t>
            </w:r>
            <w:proofErr w:type="gram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дәлсіздікке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жол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беріледі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(+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графикалық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деректер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арқылы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негіздеу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нәтижелерін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визуализациялау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).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2E48D" w14:textId="77777777" w:rsidR="00C04FFF" w:rsidRPr="00C04FFF" w:rsidRDefault="00C04FFF" w:rsidP="009D4644">
            <w:pPr>
              <w:widowControl w:val="0"/>
              <w:tabs>
                <w:tab w:val="left" w:pos="2152"/>
              </w:tabs>
              <w:spacing w:before="9" w:after="0" w:line="239" w:lineRule="auto"/>
              <w:ind w:left="110" w:right="4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Тұжырымдамалық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материалды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пайдалануда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3-4</w:t>
            </w:r>
            <w:proofErr w:type="gram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дәлсіздікке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жалпылау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тұжырымдардағы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кішігірім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қателіктерге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жол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беріледі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бұл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тапсырманың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жақсы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жалпы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деңгейіне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әсер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етпейді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B210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Негізделген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ғылыми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ережелердің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қолданылуы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туралы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тұжырымдар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нақты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емес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нәтижесіз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стилистикалық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грамматикалық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қателіктер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бар,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сонымен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қатар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практикалық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шешімнің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нәтижелерін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өңдеуде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дәлдік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жоқ</w:t>
            </w:r>
            <w:proofErr w:type="spellEnd"/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9FC88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10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Тапсырма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өрескел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қателіктермен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орындалды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сұрақтарға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жауаптар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толық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емес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тұжырымдамалық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материалдар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дәлелдер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нашар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пайдаланылды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9DCC1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6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Тапсырма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орындалмады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қойылған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сұрақтарға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жауаптар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жоқ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талдау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материалдары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құралдары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пайдаланылмады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.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Қорытынды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бақылау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жүргізу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қағидаларын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бұзу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  <w:bookmarkEnd w:id="0"/>
    </w:tbl>
    <w:p w14:paraId="3C8D36F6" w14:textId="77777777" w:rsidR="00C04FFF" w:rsidRPr="00C04FFF" w:rsidRDefault="00C04FFF" w:rsidP="009D4644">
      <w:pPr>
        <w:spacing w:after="0"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10824207" w14:textId="77777777" w:rsidR="00C04FFF" w:rsidRPr="00C04FFF" w:rsidRDefault="00C04FFF" w:rsidP="009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lang w:val="kk"/>
        </w:rPr>
      </w:pPr>
      <w:r w:rsidRPr="00C04FFF">
        <w:rPr>
          <w:rFonts w:ascii="Times New Roman" w:eastAsia="Times New Roman" w:hAnsi="Times New Roman" w:cs="Times New Roman"/>
          <w:b/>
          <w:bCs/>
          <w:color w:val="202124"/>
          <w:lang w:val="kk"/>
        </w:rPr>
        <w:t>Қорытынды баллды есептеу мысалы</w:t>
      </w:r>
    </w:p>
    <w:p w14:paraId="702BC508" w14:textId="77777777" w:rsidR="00C04FFF" w:rsidRPr="00C04FFF" w:rsidRDefault="00C04FFF" w:rsidP="009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920"/>
        <w:gridCol w:w="1734"/>
        <w:gridCol w:w="2401"/>
        <w:gridCol w:w="2669"/>
        <w:gridCol w:w="2401"/>
        <w:gridCol w:w="2634"/>
      </w:tblGrid>
      <w:tr w:rsidR="00C04FFF" w:rsidRPr="00C04FFF" w14:paraId="058B0344" w14:textId="77777777" w:rsidTr="004A0F57">
        <w:trPr>
          <w:trHeight w:val="415"/>
          <w:jc w:val="center"/>
        </w:trPr>
        <w:tc>
          <w:tcPr>
            <w:tcW w:w="2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2B07A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919CD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67648" wp14:editId="1D148FA3">
                      <wp:simplePos x="0" y="0"/>
                      <wp:positionH relativeFrom="column">
                        <wp:posOffset>-12645</wp:posOffset>
                      </wp:positionH>
                      <wp:positionV relativeFrom="paragraph">
                        <wp:posOffset>10326</wp:posOffset>
                      </wp:positionV>
                      <wp:extent cx="1242392" cy="636104"/>
                      <wp:effectExtent l="0" t="0" r="34290" b="31115"/>
                      <wp:wrapNone/>
                      <wp:docPr id="123395707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2392" cy="63610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5CBE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.8pt" to="96.8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 Балл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34FB361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A144EA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DD9316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лер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070CE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C0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4896B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C0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  <w:p w14:paraId="1DA8AE02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837EC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C0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17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65798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Қанағаттанарлықсыз</w:t>
            </w:r>
            <w:proofErr w:type="spellEnd"/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C0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C04FFF" w:rsidRPr="00C04FFF" w14:paraId="40518795" w14:textId="77777777" w:rsidTr="004A0F57">
        <w:trPr>
          <w:trHeight w:val="405"/>
          <w:jc w:val="center"/>
        </w:trPr>
        <w:tc>
          <w:tcPr>
            <w:tcW w:w="2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08FF27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314A07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1B461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90-100</w:t>
            </w:r>
            <w:proofErr w:type="gramEnd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1ABCE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70-89</w:t>
            </w:r>
            <w:proofErr w:type="gramEnd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8CB02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50-69</w:t>
            </w:r>
            <w:proofErr w:type="gramEnd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10F60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25-49</w:t>
            </w:r>
            <w:proofErr w:type="gramEnd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7B541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</w:t>
            </w:r>
            <w:proofErr w:type="gramEnd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C04FFF" w:rsidRPr="00C04FFF" w14:paraId="2C69E437" w14:textId="77777777" w:rsidTr="004A0F57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B3A78" w14:textId="77777777" w:rsidR="00C04FFF" w:rsidRPr="00C04FFF" w:rsidRDefault="00C04FFF" w:rsidP="009D4644">
            <w:pPr>
              <w:numPr>
                <w:ilvl w:val="0"/>
                <w:numId w:val="1"/>
              </w:numPr>
              <w:spacing w:after="0" w:line="240" w:lineRule="auto"/>
              <w:ind w:left="-436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ED12F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BA569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55C80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A6C8D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30CBA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C1B8D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4FFF" w:rsidRPr="00C04FFF" w14:paraId="161225BF" w14:textId="77777777" w:rsidTr="004A0F57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4CC59" w14:textId="77777777" w:rsidR="00C04FFF" w:rsidRPr="00C04FFF" w:rsidRDefault="00C04FFF" w:rsidP="009D4644">
            <w:pPr>
              <w:numPr>
                <w:ilvl w:val="0"/>
                <w:numId w:val="2"/>
              </w:numPr>
              <w:spacing w:after="0" w:line="240" w:lineRule="auto"/>
              <w:ind w:left="-436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05F47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404D4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A1148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5CFF3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75A20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91D9F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4FFF" w:rsidRPr="00C04FFF" w14:paraId="768320E4" w14:textId="77777777" w:rsidTr="00C04FFF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ED7B8" w14:textId="77777777" w:rsidR="00C04FFF" w:rsidRPr="00C04FFF" w:rsidRDefault="00C04FFF" w:rsidP="009D4644">
            <w:pPr>
              <w:numPr>
                <w:ilvl w:val="0"/>
                <w:numId w:val="3"/>
              </w:numPr>
              <w:spacing w:after="0" w:line="240" w:lineRule="auto"/>
              <w:ind w:left="-436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684AF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D1B6C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1BCCD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4D1A6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BAA97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C422A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4FFF" w:rsidRPr="00C04FFF" w14:paraId="3110370E" w14:textId="77777777" w:rsidTr="00C04FFF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1D0A7" w14:textId="77777777" w:rsidR="00C04FFF" w:rsidRPr="00C04FFF" w:rsidRDefault="00C04FFF" w:rsidP="009D4644">
            <w:pPr>
              <w:spacing w:after="0" w:line="240" w:lineRule="auto"/>
              <w:ind w:left="-43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E5A08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0A3B2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4C5BE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30150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61421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F2D6D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00+ 75 +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r w:rsidRPr="00C04F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</w:t>
            </w:r>
            <w:r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E4E76C1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32EA0E2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 / 3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й5а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83,3</w:t>
            </w:r>
            <w:r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EDEBE9C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24375EF" w14:textId="77777777" w:rsidR="00C04FFF" w:rsidRPr="00C04FFF" w:rsidRDefault="009D4644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Қорытынды балл </w:t>
            </w:r>
            <w:r w:rsidR="00C04FFF" w:rsidRPr="00C0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C04FFF"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="00C04FFF" w:rsidRPr="00C0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 </w:t>
            </w:r>
            <w:r w:rsidR="00C0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  <w:r w:rsidR="00C04FFF"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61CD6C5" w14:textId="77777777" w:rsidR="00423889" w:rsidRPr="00C04FFF" w:rsidRDefault="00423889" w:rsidP="009D4644">
      <w:pPr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sectPr w:rsidR="00423889" w:rsidRPr="00C04FFF" w:rsidSect="0042388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42388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br w:type="page"/>
      </w:r>
    </w:p>
    <w:p w14:paraId="2B6836BC" w14:textId="77777777" w:rsidR="00423889" w:rsidRPr="003E4FA0" w:rsidRDefault="00423889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E4F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Қолданылатын</w:t>
      </w:r>
      <w:proofErr w:type="spellEnd"/>
      <w:r w:rsidRPr="003E4F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E4FA0">
        <w:rPr>
          <w:rFonts w:ascii="Times New Roman" w:hAnsi="Times New Roman" w:cs="Times New Roman"/>
          <w:b/>
          <w:color w:val="000000"/>
          <w:sz w:val="24"/>
          <w:szCs w:val="24"/>
        </w:rPr>
        <w:t>әдебиеттер</w:t>
      </w:r>
      <w:proofErr w:type="spellEnd"/>
      <w:r w:rsidRPr="003E4FA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3E4FA0">
        <w:rPr>
          <w:rFonts w:ascii="Times New Roman" w:hAnsi="Times New Roman" w:cs="Times New Roman"/>
          <w:b/>
          <w:color w:val="000000"/>
          <w:sz w:val="24"/>
          <w:szCs w:val="24"/>
        </w:rPr>
        <w:t>тізімі</w:t>
      </w:r>
      <w:proofErr w:type="spellEnd"/>
      <w:r w:rsidRPr="003E4FA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80884BD" w14:textId="77777777" w:rsidR="00423889" w:rsidRPr="00423889" w:rsidRDefault="00423889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848700B" w14:textId="77777777" w:rsidR="00294C48" w:rsidRPr="00294C48" w:rsidRDefault="00294C48" w:rsidP="00294C48">
      <w:pPr>
        <w:widowControl w:val="0"/>
        <w:numPr>
          <w:ilvl w:val="0"/>
          <w:numId w:val="10"/>
        </w:numPr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Вержичинская С.В., Дигуров Н.Г., Синицин С.А. Химия и технология нефти и газа. </w:t>
      </w: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ФОРУМ</w:t>
      </w: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12</w:t>
      </w: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. 40</w:t>
      </w: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</w:t>
      </w: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14:paraId="2DFF0F51" w14:textId="77777777" w:rsidR="00294C48" w:rsidRPr="00294C48" w:rsidRDefault="00294C48" w:rsidP="00294C48">
      <w:pPr>
        <w:widowControl w:val="0"/>
        <w:numPr>
          <w:ilvl w:val="0"/>
          <w:numId w:val="10"/>
        </w:numPr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Капустин </w:t>
      </w:r>
      <w:proofErr w:type="gramStart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В.М.</w:t>
      </w:r>
      <w:proofErr w:type="gramEnd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Технология переработки нефти. Часть 1. Первичная переработка нефти. М.: </w:t>
      </w:r>
      <w:proofErr w:type="spellStart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КолосС</w:t>
      </w:r>
      <w:proofErr w:type="spellEnd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2012, 456с. </w:t>
      </w:r>
    </w:p>
    <w:p w14:paraId="2CFB6E8B" w14:textId="77777777" w:rsidR="00294C48" w:rsidRPr="00294C48" w:rsidRDefault="00294C48" w:rsidP="00294C48">
      <w:pPr>
        <w:widowControl w:val="0"/>
        <w:numPr>
          <w:ilvl w:val="0"/>
          <w:numId w:val="10"/>
        </w:numPr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Капустин </w:t>
      </w:r>
      <w:proofErr w:type="gramStart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В.М.</w:t>
      </w:r>
      <w:proofErr w:type="gramEnd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, Гуреев А.А. Технология переработки нефти. Часть 2. Физико-химические процессы. – М.: Химия, 2015, 400с.</w:t>
      </w:r>
    </w:p>
    <w:p w14:paraId="44CC9559" w14:textId="77777777" w:rsidR="00294C48" w:rsidRPr="00294C48" w:rsidRDefault="00294C48" w:rsidP="00294C48">
      <w:pPr>
        <w:widowControl w:val="0"/>
        <w:numPr>
          <w:ilvl w:val="0"/>
          <w:numId w:val="10"/>
        </w:numPr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Капустин </w:t>
      </w:r>
      <w:proofErr w:type="gramStart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В.М.</w:t>
      </w:r>
      <w:proofErr w:type="gramEnd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, Тонконогов Б.П., Фукс И.Г. Часть 3. Производство нефтяных смазочных материалов. – М.: Химия, 2014, 328с.</w:t>
      </w:r>
    </w:p>
    <w:p w14:paraId="778A62C7" w14:textId="77777777" w:rsidR="00294C48" w:rsidRPr="00294C48" w:rsidRDefault="00294C48" w:rsidP="00294C48">
      <w:pPr>
        <w:widowControl w:val="0"/>
        <w:numPr>
          <w:ilvl w:val="0"/>
          <w:numId w:val="10"/>
        </w:numPr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Капустин </w:t>
      </w:r>
      <w:proofErr w:type="gramStart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В.М.</w:t>
      </w:r>
      <w:proofErr w:type="gramEnd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, Рудин М.Г. Химия и технология переработки нефти. – М.: Химия, 2013, 496с.</w:t>
      </w:r>
    </w:p>
    <w:p w14:paraId="12FC5845" w14:textId="77777777" w:rsidR="00294C48" w:rsidRPr="00294C48" w:rsidRDefault="00294C48" w:rsidP="00294C48">
      <w:pPr>
        <w:widowControl w:val="0"/>
        <w:numPr>
          <w:ilvl w:val="0"/>
          <w:numId w:val="10"/>
        </w:numPr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Капустин </w:t>
      </w:r>
      <w:proofErr w:type="gramStart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В.М.</w:t>
      </w:r>
      <w:proofErr w:type="gramEnd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Технология производства автомобильных бензинов. – М.: Химия, 2015, 256с.</w:t>
      </w:r>
    </w:p>
    <w:p w14:paraId="75D2F8CC" w14:textId="77777777" w:rsidR="00294C48" w:rsidRPr="00294C48" w:rsidRDefault="00294C48" w:rsidP="00294C48">
      <w:pPr>
        <w:widowControl w:val="0"/>
        <w:numPr>
          <w:ilvl w:val="0"/>
          <w:numId w:val="10"/>
        </w:numPr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Ахметов С.А. Технологии глубокой переработки нефти и газа. Уфа, Гилем, 2002. 672с.</w:t>
      </w:r>
    </w:p>
    <w:p w14:paraId="399FB0FB" w14:textId="77777777" w:rsidR="00294C48" w:rsidRPr="00294C48" w:rsidRDefault="00294C48" w:rsidP="00294C48">
      <w:pPr>
        <w:widowControl w:val="0"/>
        <w:numPr>
          <w:ilvl w:val="0"/>
          <w:numId w:val="10"/>
        </w:numPr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Хаджиев </w:t>
      </w:r>
      <w:proofErr w:type="gramStart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С.Н.</w:t>
      </w:r>
      <w:proofErr w:type="gramEnd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Шпирт</w:t>
      </w:r>
      <w:proofErr w:type="spellEnd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М.Я. Микроэлементы в нефтях и продуктах их переработки. – М.: Наука, 2012, 222с.</w:t>
      </w:r>
    </w:p>
    <w:p w14:paraId="3E55653A" w14:textId="77777777" w:rsidR="00294C48" w:rsidRPr="00294C48" w:rsidRDefault="00294C48" w:rsidP="00294C48">
      <w:pPr>
        <w:widowControl w:val="0"/>
        <w:numPr>
          <w:ilvl w:val="0"/>
          <w:numId w:val="10"/>
        </w:numPr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Леффлер</w:t>
      </w:r>
      <w:proofErr w:type="spellEnd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У.Л. Переработка нефти. Пер. с англ. М.: ЗАО «Олимп-Бизнес», 2001. 223с.</w:t>
      </w:r>
    </w:p>
    <w:p w14:paraId="030E24CD" w14:textId="77777777" w:rsidR="00423889" w:rsidRPr="00423889" w:rsidRDefault="00423889" w:rsidP="003E4FA0">
      <w:pPr>
        <w:widowControl w:val="0"/>
        <w:autoSpaceDE w:val="0"/>
        <w:autoSpaceDN w:val="0"/>
        <w:spacing w:after="0" w:line="222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</w:p>
    <w:sectPr w:rsidR="00423889" w:rsidRPr="0042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97C"/>
    <w:multiLevelType w:val="multilevel"/>
    <w:tmpl w:val="5536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B4828"/>
    <w:multiLevelType w:val="hybridMultilevel"/>
    <w:tmpl w:val="F25C5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220F"/>
    <w:multiLevelType w:val="multilevel"/>
    <w:tmpl w:val="B3C4D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D24246"/>
    <w:multiLevelType w:val="hybridMultilevel"/>
    <w:tmpl w:val="5A167166"/>
    <w:lvl w:ilvl="0" w:tplc="A63E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F0051"/>
    <w:multiLevelType w:val="multilevel"/>
    <w:tmpl w:val="975C0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7146F"/>
    <w:multiLevelType w:val="hybridMultilevel"/>
    <w:tmpl w:val="D6446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55775"/>
    <w:multiLevelType w:val="multilevel"/>
    <w:tmpl w:val="E33A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010B57"/>
    <w:multiLevelType w:val="hybridMultilevel"/>
    <w:tmpl w:val="9272C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45CEF"/>
    <w:multiLevelType w:val="multilevel"/>
    <w:tmpl w:val="F1A018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C37C10"/>
    <w:multiLevelType w:val="multilevel"/>
    <w:tmpl w:val="739A4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213478">
    <w:abstractNumId w:val="0"/>
  </w:num>
  <w:num w:numId="2" w16cid:durableId="1171456601">
    <w:abstractNumId w:val="4"/>
  </w:num>
  <w:num w:numId="3" w16cid:durableId="926158897">
    <w:abstractNumId w:val="6"/>
  </w:num>
  <w:num w:numId="4" w16cid:durableId="670061154">
    <w:abstractNumId w:val="10"/>
  </w:num>
  <w:num w:numId="5" w16cid:durableId="826702510">
    <w:abstractNumId w:val="9"/>
  </w:num>
  <w:num w:numId="6" w16cid:durableId="1845634013">
    <w:abstractNumId w:val="2"/>
  </w:num>
  <w:num w:numId="7" w16cid:durableId="154809809">
    <w:abstractNumId w:val="3"/>
  </w:num>
  <w:num w:numId="8" w16cid:durableId="676540007">
    <w:abstractNumId w:val="7"/>
  </w:num>
  <w:num w:numId="9" w16cid:durableId="1718049926">
    <w:abstractNumId w:val="1"/>
  </w:num>
  <w:num w:numId="10" w16cid:durableId="769816573">
    <w:abstractNumId w:val="8"/>
  </w:num>
  <w:num w:numId="11" w16cid:durableId="99688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48C"/>
    <w:rsid w:val="00291ABE"/>
    <w:rsid w:val="00294C48"/>
    <w:rsid w:val="002A70AB"/>
    <w:rsid w:val="002A7A69"/>
    <w:rsid w:val="002E4BF4"/>
    <w:rsid w:val="00327C08"/>
    <w:rsid w:val="003A3ADA"/>
    <w:rsid w:val="003A648C"/>
    <w:rsid w:val="003B4C70"/>
    <w:rsid w:val="003E03B4"/>
    <w:rsid w:val="003E4FA0"/>
    <w:rsid w:val="00423889"/>
    <w:rsid w:val="005B3EAE"/>
    <w:rsid w:val="005E456E"/>
    <w:rsid w:val="00633A2E"/>
    <w:rsid w:val="006D482D"/>
    <w:rsid w:val="0070436F"/>
    <w:rsid w:val="00727D3E"/>
    <w:rsid w:val="007833F4"/>
    <w:rsid w:val="009D4644"/>
    <w:rsid w:val="00B00143"/>
    <w:rsid w:val="00B51E4F"/>
    <w:rsid w:val="00C04FFF"/>
    <w:rsid w:val="00E41091"/>
    <w:rsid w:val="00F5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A17D"/>
  <w15:docId w15:val="{3AD5B15C-4BFD-455A-9AFF-17FCF943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B22C3-C0E4-4FB7-A470-1D2DAA8B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</dc:creator>
  <cp:lastModifiedBy>Sterin Sterin</cp:lastModifiedBy>
  <cp:revision>3</cp:revision>
  <dcterms:created xsi:type="dcterms:W3CDTF">2023-11-08T11:50:00Z</dcterms:created>
  <dcterms:modified xsi:type="dcterms:W3CDTF">2023-11-08T11:54:00Z</dcterms:modified>
</cp:coreProperties>
</file>